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PONT SCORFF</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30 octobre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08h15 à 12h15</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KERVINIOU</w:t>
      </w:r>
    </w:p>
    <w:p w:rsidRPr="0035053F" w:rsidP="001348F6">
      <w:pPr>
        <w:rPr>
          <w:rFonts w:asciiTheme="minorHAnsi" w:hAnsiTheme="minorHAnsi" w:cstheme="minorHAnsi"/>
          <w:sz w:val="20"/>
        </w:rPr>
      </w:pPr>
      <w:r w:rsidRPr="0035053F" w:rsidR="00E8145C">
        <w:rPr>
          <w:rFonts w:asciiTheme="minorHAnsi" w:hAnsiTheme="minorHAnsi" w:cstheme="minorHAnsi"/>
          <w:sz w:val="20"/>
        </w:rPr>
        <w:t>KERGOAL</w:t>
      </w:r>
    </w:p>
    <w:p w:rsidRPr="0035053F" w:rsidP="001348F6">
      <w:pPr>
        <w:rPr>
          <w:rFonts w:asciiTheme="minorHAnsi" w:hAnsiTheme="minorHAnsi" w:cstheme="minorHAnsi"/>
          <w:sz w:val="20"/>
        </w:rPr>
      </w:pPr>
      <w:r w:rsidRPr="0035053F" w:rsidR="00E8145C">
        <w:rPr>
          <w:rFonts w:asciiTheme="minorHAnsi" w:hAnsiTheme="minorHAnsi" w:cstheme="minorHAnsi"/>
          <w:sz w:val="20"/>
        </w:rPr>
        <w:t>KERVARZAOUEN</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Lorient</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